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附件4</w:t>
      </w:r>
    </w:p>
    <w:p>
      <w:pPr>
        <w:rPr>
          <w:rFonts w:ascii="黑体" w:hAnsi="黑体" w:eastAsia="黑体"/>
          <w:color w:val="000000"/>
        </w:rPr>
      </w:pPr>
    </w:p>
    <w:p>
      <w:pPr>
        <w:jc w:val="center"/>
        <w:rPr>
          <w:rFonts w:hint="eastAsia"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 w:cs="黑体"/>
          <w:sz w:val="40"/>
          <w:szCs w:val="40"/>
        </w:rPr>
        <w:t>部门整体自评报告</w:t>
      </w:r>
    </w:p>
    <w:p>
      <w:pPr>
        <w:jc w:val="center"/>
        <w:outlineLvl w:val="0"/>
        <w:rPr>
          <w:rFonts w:ascii="仿宋_GB2312"/>
          <w:color w:val="000000"/>
          <w:sz w:val="32"/>
        </w:rPr>
      </w:pPr>
    </w:p>
    <w:p>
      <w:pPr>
        <w:ind w:firstLine="588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一、基本情况</w:t>
      </w:r>
    </w:p>
    <w:p>
      <w:pPr>
        <w:ind w:firstLine="588" w:firstLineChars="200"/>
        <w:outlineLvl w:val="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（一）</w:t>
      </w:r>
      <w:r>
        <w:rPr>
          <w:rFonts w:ascii="仿宋_GB2312"/>
          <w:color w:val="000000"/>
          <w:sz w:val="32"/>
          <w:szCs w:val="32"/>
        </w:rPr>
        <w:t>年度</w:t>
      </w:r>
      <w:r>
        <w:rPr>
          <w:rFonts w:hint="eastAsia" w:ascii="仿宋_GB2312"/>
          <w:color w:val="000000"/>
          <w:sz w:val="32"/>
          <w:szCs w:val="32"/>
        </w:rPr>
        <w:t>部门</w:t>
      </w:r>
      <w:r>
        <w:rPr>
          <w:rFonts w:ascii="仿宋_GB2312"/>
          <w:color w:val="000000"/>
          <w:sz w:val="32"/>
          <w:szCs w:val="32"/>
        </w:rPr>
        <w:t>总</w:t>
      </w:r>
      <w:r>
        <w:rPr>
          <w:rFonts w:hint="eastAsia" w:ascii="仿宋_GB2312"/>
          <w:color w:val="000000"/>
          <w:sz w:val="32"/>
          <w:szCs w:val="32"/>
        </w:rPr>
        <w:t>目标</w:t>
      </w:r>
      <w:r>
        <w:rPr>
          <w:rFonts w:ascii="仿宋_GB2312"/>
          <w:color w:val="000000"/>
          <w:sz w:val="32"/>
          <w:szCs w:val="32"/>
        </w:rPr>
        <w:t>及</w:t>
      </w:r>
      <w:r>
        <w:rPr>
          <w:rFonts w:hint="eastAsia" w:ascii="仿宋_GB2312"/>
          <w:color w:val="000000"/>
          <w:sz w:val="32"/>
          <w:szCs w:val="32"/>
        </w:rPr>
        <w:t>主要</w:t>
      </w:r>
      <w:r>
        <w:rPr>
          <w:rFonts w:ascii="仿宋_GB2312"/>
          <w:color w:val="000000"/>
          <w:sz w:val="32"/>
          <w:szCs w:val="32"/>
        </w:rPr>
        <w:t>任务</w:t>
      </w:r>
      <w:r>
        <w:rPr>
          <w:rFonts w:hint="eastAsia" w:ascii="仿宋_GB2312"/>
          <w:color w:val="000000"/>
          <w:sz w:val="32"/>
          <w:szCs w:val="32"/>
        </w:rPr>
        <w:t>。</w:t>
      </w:r>
    </w:p>
    <w:p>
      <w:pPr>
        <w:pStyle w:val="10"/>
        <w:tabs>
          <w:tab w:val="left" w:pos="1302"/>
        </w:tabs>
        <w:spacing w:line="560" w:lineRule="exact"/>
        <w:ind w:firstLine="588" w:firstLineChars="200"/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总目标：</w:t>
      </w:r>
      <w:bookmarkStart w:id="0" w:name="bookmark55"/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高标准推进公路及水路在建工程建设、高水平谋划“十四五”重大项目、高站位加快运输结构调整、高水平建设智慧交通、高质量提升“四好农村路”建管养运水平、高要求强化安全生产、检查监督局党组和党员干部执行党的路线、方针、政策和决议执行情况、加强党风廉政建设和反腐纠风工作。</w:t>
      </w:r>
    </w:p>
    <w:p>
      <w:pPr>
        <w:pStyle w:val="10"/>
        <w:tabs>
          <w:tab w:val="left" w:pos="1302"/>
        </w:tabs>
        <w:spacing w:line="560" w:lineRule="exact"/>
        <w:ind w:firstLine="588" w:firstLineChars="200"/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主要任务：做好客运监管、超限治理、路政管理，规范道路运输客运、货运、驾培、维修等市场，规范道路运输从业人员经营行为等工作；组织调全市地方交通战备工作、承担国防动员有关工作；推进高速公路、干线公路、“四好农村路”建设、沙河等项目实施建设；交通工程质量监测、安全生产监督、交竣工检测、检验等工作。</w:t>
      </w:r>
    </w:p>
    <w:bookmarkEnd w:id="0"/>
    <w:p>
      <w:pPr>
        <w:numPr>
          <w:ilvl w:val="0"/>
          <w:numId w:val="1"/>
        </w:numPr>
        <w:ind w:firstLine="588" w:firstLineChars="200"/>
        <w:outlineLvl w:val="0"/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年度部门整体预算绩效目标、绩效指标设定情况。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8" w:firstLineChars="200"/>
        <w:textAlignment w:val="auto"/>
        <w:outlineLvl w:val="0"/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部门年度整体预算绩效目标、绩效指标设定情况。按照平财效【2021】6号文、财政部《预算绩效评价共性指标体系框架》等文件要求合理制定部门年度整体预算绩效目标，其中有：高标准推进公路及水路在建工程建设，高水平谋划“十四五”重大项目，检查监督局党组和党员干部执行党的路线、方针、政策和决议执行情况，加强党风廉政建设和反腐纠风工作，高水平建设智慧交通等，并按照相应的规定设定合理的绩效评价体系，包括</w:t>
      </w:r>
      <w:r>
        <w:rPr>
          <w:rFonts w:hint="eastAsia" w:ascii="仿宋_GB2312" w:cs="Times New Roman"/>
          <w:color w:val="000000"/>
          <w:kern w:val="2"/>
          <w:sz w:val="32"/>
          <w:szCs w:val="32"/>
          <w:lang w:val="en-US" w:eastAsia="zh-CN" w:bidi="ar-SA"/>
        </w:rPr>
        <w:t>投入管理指标，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产出指标，效益指标，满意度指标。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8" w:firstLineChars="200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二、绩效自评工作开展情况</w:t>
      </w: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tabs>
          <w:tab w:val="left" w:pos="1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588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具体工作内容，要求相关二级机构报送评价基础数据、资料来源和依据等佐证材料，并落实、核实等情况。建立了产出指标、效益指标及满意度指标，其中产出指标下设数量指标、质量指标、时效指标、成本指标，效益指标下设经济效益指标、社会效益指标、可持续影响指标；并根据要求编制整体预算绩效、项目预算绩效，开展绩效自评工作。</w:t>
      </w:r>
    </w:p>
    <w:p>
      <w:pPr>
        <w:ind w:firstLine="588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三、综合评价结论</w:t>
      </w: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588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根据要求设置相应的分数，结合我单位工作的进展及结果，依据所设置的评价标准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和各项指标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，最终合计</w:t>
      </w:r>
      <w:r>
        <w:rPr>
          <w:rFonts w:hint="eastAsia" w:ascii="仿宋_GB2312" w:hAnsi="仿宋_GB2312" w:eastAsia="仿宋_GB2312" w:cs="仿宋_GB2312"/>
          <w:sz w:val="32"/>
          <w:szCs w:val="32"/>
        </w:rPr>
        <w:t>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100分。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所有项目资金严格按照项目申报的实施方案组织实施，并责成项目实施单位、科室加强日常监督，依据相应的资金管理办法切实做到项目资金专项专用，无截留、无挪用等现象。</w:t>
      </w: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588" w:firstLineChars="200"/>
        <w:jc w:val="both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四、绩效目标实现情况分析</w:t>
      </w:r>
    </w:p>
    <w:p>
      <w:pPr>
        <w:ind w:firstLine="588" w:firstLineChars="200"/>
        <w:outlineLvl w:val="0"/>
        <w:rPr>
          <w:rFonts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（一）部门资金情况分析</w:t>
      </w: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588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资金到位及时、资金按照预算管理规定执行及管理。全年部门预算资金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51514.05万元，全年执行数51457.13万元，预算执行率99.9%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588" w:firstLineChars="200"/>
        <w:jc w:val="both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（二）项目绩效指标完成情况分析</w:t>
      </w: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588" w:firstLineChars="200"/>
        <w:jc w:val="both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1.投入管理指标完成情况分析</w:t>
      </w: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588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按照年度履职目标完成各项工作，工作任务科学、绩效指标合理；按照相关规定，对预算、收支、财务、资产等进行合理、合规的管理。资金落实到位情况良好，管理制度健全、制度执行有效、项目质量可控；所有开支均按照财务管理制度执行，资金的使用严格把关，机关的日常工作运行得到保障；绩效管理能有效落实。</w:t>
      </w: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588" w:firstLineChars="200"/>
        <w:jc w:val="both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2.产出指标完成情况分析</w:t>
      </w: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588" w:firstLineChars="200"/>
        <w:jc w:val="both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全市交通基础设施建设完成投资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61.88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亿元；在全省交通系统率先编制了《综合立体交通网规划》和《“十四五”综合交通运输体系规划》，围绕将我市打造成“豫西南综合交通枢纽、河南省区域物流枢纽”的交通定位，规划了280公里的高速公路、1200公里的普通干线公路、智慧交通等一大批基础设施项目；污染防治成效显著；运输结构调整、全域公交一体化顺利有效推进；推进行业信用体系建设；安全责任体系逐步完善、重点领域安全监管力度加大、应急保障能力持续增强。整体工作及重点工作皆已有效落实并完成，实现了本年度设定的部门目标。</w:t>
      </w: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588" w:firstLineChars="200"/>
        <w:jc w:val="both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3.效益指标完成情况分析</w:t>
      </w: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588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21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年我单位较好的完成了绩效目标任务，日常管理工作均按照我单位相关管理制度执行，建立了工作有计划、实施有方案、日常有监督的管理机制，工作取得了较好的成效，效能得到了提高、获得了社会公众的好评。</w:t>
      </w:r>
    </w:p>
    <w:p>
      <w:pPr>
        <w:ind w:firstLine="588" w:firstLineChars="200"/>
        <w:rPr>
          <w:rFonts w:hint="eastAsia" w:ascii="仿宋_GB2312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五、发现的主要问题和改进措施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588" w:firstLineChars="200"/>
        <w:jc w:val="both"/>
        <w:textAlignment w:val="auto"/>
        <w:rPr>
          <w:rFonts w:hint="eastAsia" w:ascii="楷体_GB2312" w:hAnsi="楷体_GB2312" w:eastAsia="楷体_GB2312" w:cs="楷体_GB2312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pacing w:val="0"/>
          <w:w w:val="100"/>
          <w:position w:val="0"/>
          <w:sz w:val="32"/>
          <w:szCs w:val="32"/>
        </w:rPr>
        <w:t>（一）发现的主要问题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588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从整体情况来看，我部门重视财政资金的支出绩效，从预算、执行、资金支付等流程层层把关，严格按照部门预算进行部门整体支出，涉及“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三重一大”事项必须经过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党组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讨论决定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，“三公经费”逐年下降。所有项目资金严格按照项目申报的实施方案组织实施，并责成项目实施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单位、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科室加强日常监督，依据相应的资金管理办法切实做到项目资金专项专用，无截留、无挪用等现象。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Chars="200" w:right="0" w:rightChars="0"/>
        <w:jc w:val="both"/>
        <w:textAlignment w:val="auto"/>
        <w:rPr>
          <w:rFonts w:hint="eastAsia" w:ascii="楷体_GB2312" w:hAnsi="楷体_GB2312" w:eastAsia="楷体_GB2312" w:cs="楷体_GB2312"/>
          <w:color w:val="000000"/>
          <w:spacing w:val="0"/>
          <w:w w:val="100"/>
          <w:positio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pacing w:val="0"/>
          <w:w w:val="100"/>
          <w:position w:val="0"/>
          <w:sz w:val="32"/>
          <w:szCs w:val="32"/>
          <w:lang w:eastAsia="zh-CN"/>
        </w:rPr>
        <w:t>（二）改进措施</w:t>
      </w: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588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进一步提高预算编制的准确性。严格按照预算的相关规定和要求来编制部门预算，以各二级单位及业务科室的年度业务活动安排为起点，加强交流沟通，进一步提高预算精细化、准确化的意识，确保部门预算的全面、科学。</w:t>
      </w: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588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2.进一步完善预算开支的规范性。严格遵守各项开支费用的管理规定，加强财务管理，厉行节约，严控三公经费，确保开支口径与预算口径的一致，从而有效的提高预算资金的使用效率。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8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六、部门整体绩效自评结果拟应用和公开情况</w:t>
      </w: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588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zh-TW" w:eastAsia="zh-CN"/>
        </w:rPr>
        <w:t>我部门将自评结果作为下一年度预算安排和编制的依据，将有力提高预算制定的科学性和有效性；根据财政的要求在门户网站公开本自评报告，接受社会大众监督。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8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部门整体绩效自评工作的经验、问题和建议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8" w:firstLineChars="200"/>
        <w:textAlignment w:val="auto"/>
        <w:rPr>
          <w:rFonts w:hint="eastAsia" w:ascii="仿宋_GB2312" w:hAnsi="宋体" w:eastAsia="宋体" w:cs="宋体"/>
          <w:kern w:val="2"/>
          <w:sz w:val="32"/>
          <w:szCs w:val="32"/>
          <w:lang w:val="zh-TW" w:eastAsia="zh-TW" w:bidi="zh-TW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zh-TW" w:eastAsia="zh-CN" w:bidi="zh-TW"/>
        </w:rPr>
        <w:t>绩效自评工作能使各部门更清晰明了的看到工作中的不足，能切实有效的的落实问题所在，并做出合理的整改，使资金的使用更加合理。根据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zh-TW"/>
        </w:rPr>
        <w:t>2021年绩效自评工作，提出以下建议：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zh-TW" w:eastAsia="zh-CN" w:bidi="zh-TW"/>
        </w:rPr>
        <w:t>1.加强单位预算编制工作，根据人员情况、业务开展需要，逐项做出预算计划，预算合理、不留缺口、不留空项；2.加强业务培训，提高评价水平。部门整体绩效评价工作是一项长期性的工作，专业性强，工作量大，建议财政部门进一步加强开展部门领导及经办人员相关的政策、业务工作培训，组织开展部门之间、单位之间的经验交流，切实推进绩效评价工作的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8" w:firstLineChars="200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八、其他需要说明的问题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2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Chars="200" w:right="0" w:rightChars="0" w:firstLine="588" w:firstLineChars="200"/>
        <w:jc w:val="both"/>
        <w:textAlignment w:val="auto"/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无。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797" w:bottom="1440" w:left="1797" w:header="851" w:footer="992" w:gutter="0"/>
      <w:cols w:space="720" w:num="1"/>
      <w:docGrid w:type="linesAndChars" w:linePitch="606" w:charSpace="-5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45E6A5"/>
    <w:multiLevelType w:val="singleLevel"/>
    <w:tmpl w:val="A345E6A5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F13032C"/>
    <w:multiLevelType w:val="singleLevel"/>
    <w:tmpl w:val="4F13032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mZmUzODM5NGQxZDI3YzE1NzM2N2RjYTQ5NTBmNmYifQ=="/>
  </w:docVars>
  <w:rsids>
    <w:rsidRoot w:val="00C945F1"/>
    <w:rsid w:val="000066F3"/>
    <w:rsid w:val="00007D3D"/>
    <w:rsid w:val="00014178"/>
    <w:rsid w:val="00023C41"/>
    <w:rsid w:val="00025AB1"/>
    <w:rsid w:val="00080926"/>
    <w:rsid w:val="000A50B1"/>
    <w:rsid w:val="000C561F"/>
    <w:rsid w:val="00107096"/>
    <w:rsid w:val="00174027"/>
    <w:rsid w:val="001D0FE8"/>
    <w:rsid w:val="00231F71"/>
    <w:rsid w:val="002329CA"/>
    <w:rsid w:val="002A1601"/>
    <w:rsid w:val="002B25B1"/>
    <w:rsid w:val="0035434B"/>
    <w:rsid w:val="00405AE2"/>
    <w:rsid w:val="00405C47"/>
    <w:rsid w:val="004E61B2"/>
    <w:rsid w:val="004E7817"/>
    <w:rsid w:val="005520A5"/>
    <w:rsid w:val="00584CCB"/>
    <w:rsid w:val="00595B97"/>
    <w:rsid w:val="005A1A96"/>
    <w:rsid w:val="005B6326"/>
    <w:rsid w:val="005D1DFC"/>
    <w:rsid w:val="005E263C"/>
    <w:rsid w:val="006E016F"/>
    <w:rsid w:val="00735765"/>
    <w:rsid w:val="0084038F"/>
    <w:rsid w:val="0086127D"/>
    <w:rsid w:val="008762B9"/>
    <w:rsid w:val="008F39C6"/>
    <w:rsid w:val="00994F70"/>
    <w:rsid w:val="00AA3097"/>
    <w:rsid w:val="00B06CC7"/>
    <w:rsid w:val="00B12614"/>
    <w:rsid w:val="00B40D97"/>
    <w:rsid w:val="00C47558"/>
    <w:rsid w:val="00C524E0"/>
    <w:rsid w:val="00C86B00"/>
    <w:rsid w:val="00C945F1"/>
    <w:rsid w:val="00CD4B0E"/>
    <w:rsid w:val="00CD50D7"/>
    <w:rsid w:val="00D6561F"/>
    <w:rsid w:val="00D80BA2"/>
    <w:rsid w:val="00E06D11"/>
    <w:rsid w:val="00E2502F"/>
    <w:rsid w:val="00E43D7F"/>
    <w:rsid w:val="00EE67E7"/>
    <w:rsid w:val="00F22FE2"/>
    <w:rsid w:val="00F4795B"/>
    <w:rsid w:val="00FB255E"/>
    <w:rsid w:val="00FC3ED4"/>
    <w:rsid w:val="00FE1050"/>
    <w:rsid w:val="00FF1168"/>
    <w:rsid w:val="09584475"/>
    <w:rsid w:val="09A3596A"/>
    <w:rsid w:val="0C012733"/>
    <w:rsid w:val="10093A91"/>
    <w:rsid w:val="20F966FF"/>
    <w:rsid w:val="22372961"/>
    <w:rsid w:val="231734D0"/>
    <w:rsid w:val="249D1405"/>
    <w:rsid w:val="29962962"/>
    <w:rsid w:val="36D64360"/>
    <w:rsid w:val="3A7C292F"/>
    <w:rsid w:val="3C3A4DEC"/>
    <w:rsid w:val="41A24875"/>
    <w:rsid w:val="4A1A3BB9"/>
    <w:rsid w:val="4CF55B01"/>
    <w:rsid w:val="56E86456"/>
    <w:rsid w:val="5E6E19F1"/>
    <w:rsid w:val="5F1A4626"/>
    <w:rsid w:val="5F9D4AAC"/>
    <w:rsid w:val="652310DA"/>
    <w:rsid w:val="68D67EF7"/>
    <w:rsid w:val="69A41E76"/>
    <w:rsid w:val="69AB478F"/>
    <w:rsid w:val="6B0B7984"/>
    <w:rsid w:val="6C9E13A2"/>
    <w:rsid w:val="7D5E1DA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semiHidden/>
    <w:qFormat/>
    <w:uiPriority w:val="0"/>
  </w:style>
  <w:style w:type="character" w:customStyle="1" w:styleId="8">
    <w:name w:val="页眉 Char"/>
    <w:link w:val="4"/>
    <w:semiHidden/>
    <w:qFormat/>
    <w:uiPriority w:val="99"/>
    <w:rPr>
      <w:rFonts w:eastAsia="仿宋_GB2312"/>
      <w:kern w:val="2"/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rFonts w:eastAsia="仿宋_GB2312"/>
      <w:kern w:val="2"/>
      <w:sz w:val="18"/>
      <w:szCs w:val="18"/>
    </w:rPr>
  </w:style>
  <w:style w:type="paragraph" w:customStyle="1" w:styleId="10">
    <w:name w:val="Body text|1"/>
    <w:basedOn w:val="1"/>
    <w:qFormat/>
    <w:uiPriority w:val="99"/>
    <w:pPr>
      <w:spacing w:line="439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11">
    <w:name w:val="Header or footer|1"/>
    <w:basedOn w:val="1"/>
    <w:qFormat/>
    <w:uiPriority w:val="0"/>
    <w:pPr>
      <w:widowControl w:val="0"/>
      <w:shd w:val="clear" w:color="auto" w:fill="auto"/>
    </w:pPr>
    <w:rPr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2222</Words>
  <Characters>2279</Characters>
  <Lines>1</Lines>
  <Paragraphs>1</Paragraphs>
  <TotalTime>19</TotalTime>
  <ScaleCrop>false</ScaleCrop>
  <LinksUpToDate>false</LinksUpToDate>
  <CharactersWithSpaces>2279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2011-02-27T05:26:00Z</dcterms:created>
  <dc:creator>lhn</dc:creator>
  <cp:lastModifiedBy>碎碎念</cp:lastModifiedBy>
  <cp:lastPrinted>2022-03-23T09:21:00Z</cp:lastPrinted>
  <dcterms:modified xsi:type="dcterms:W3CDTF">2023-10-17T01:59:36Z</dcterms:modified>
  <dc:title>附件3：          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2167D326BE9445D5A1E724B5A17B95F1</vt:lpwstr>
  </property>
</Properties>
</file>